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6040" w14:textId="457109E1" w:rsidR="00ED3703" w:rsidRPr="00D34B88" w:rsidRDefault="00ED3703" w:rsidP="00ED3703">
      <w:pPr>
        <w:pStyle w:val="Footer"/>
        <w:jc w:val="center"/>
        <w:rPr>
          <w:sz w:val="24"/>
          <w:szCs w:val="24"/>
        </w:rPr>
      </w:pPr>
      <w:r w:rsidRPr="00D34B88">
        <w:rPr>
          <w:sz w:val="24"/>
          <w:szCs w:val="24"/>
        </w:rPr>
        <w:t xml:space="preserve">&gt;&gt; Sample document from </w:t>
      </w:r>
      <w:hyperlink r:id="rId7" w:history="1">
        <w:r w:rsidR="0001459E" w:rsidRPr="0001459E">
          <w:rPr>
            <w:rStyle w:val="Hyperlink"/>
            <w:sz w:val="24"/>
            <w:szCs w:val="24"/>
          </w:rPr>
          <w:t>www.CourtAppointedNeutral.com</w:t>
        </w:r>
      </w:hyperlink>
      <w:r w:rsidRPr="00D34B88">
        <w:rPr>
          <w:sz w:val="24"/>
          <w:szCs w:val="24"/>
        </w:rPr>
        <w:t xml:space="preserve"> &lt;&lt;</w:t>
      </w:r>
    </w:p>
    <w:p w14:paraId="63E118DA" w14:textId="0186A59B" w:rsidR="00ED3703" w:rsidRPr="00D34B88" w:rsidRDefault="000D2A82" w:rsidP="00CE1CF5">
      <w:pPr>
        <w:pStyle w:val="Footer"/>
        <w:spacing w:after="120"/>
        <w:jc w:val="center"/>
        <w:rPr>
          <w:sz w:val="24"/>
          <w:szCs w:val="24"/>
        </w:rPr>
      </w:pPr>
      <w:r w:rsidRPr="00D34B88">
        <w:rPr>
          <w:sz w:val="24"/>
          <w:szCs w:val="24"/>
        </w:rPr>
        <w:t xml:space="preserve">(This document </w:t>
      </w:r>
      <w:r>
        <w:rPr>
          <w:sz w:val="24"/>
          <w:szCs w:val="24"/>
        </w:rPr>
        <w:t>is open source and freely subject to modification</w:t>
      </w:r>
      <w:r w:rsidRPr="00D34B88">
        <w:rPr>
          <w:sz w:val="24"/>
          <w:szCs w:val="24"/>
        </w:rPr>
        <w:t>)</w:t>
      </w:r>
    </w:p>
    <w:p w14:paraId="551E8ECC" w14:textId="07AAFABE" w:rsidR="00677D96" w:rsidRPr="00D34B88" w:rsidRDefault="00677D96" w:rsidP="00677D96">
      <w:pPr>
        <w:spacing w:after="0" w:line="240" w:lineRule="auto"/>
        <w:jc w:val="center"/>
        <w:rPr>
          <w:i/>
          <w:smallCaps/>
          <w:sz w:val="28"/>
          <w:szCs w:val="28"/>
          <w:u w:val="single"/>
        </w:rPr>
      </w:pPr>
      <w:r w:rsidRPr="00D34B88">
        <w:rPr>
          <w:i/>
          <w:smallCaps/>
          <w:sz w:val="28"/>
          <w:szCs w:val="28"/>
          <w:u w:val="single"/>
        </w:rPr>
        <w:t xml:space="preserve">this document is for informational purposes only and </w:t>
      </w:r>
    </w:p>
    <w:p w14:paraId="4D68FED3" w14:textId="1F90FC11" w:rsidR="00ED3703" w:rsidRPr="00D34B88" w:rsidRDefault="00677D96" w:rsidP="00ED3703">
      <w:pPr>
        <w:spacing w:after="0" w:line="240" w:lineRule="auto"/>
        <w:jc w:val="center"/>
        <w:rPr>
          <w:i/>
          <w:smallCaps/>
          <w:sz w:val="28"/>
          <w:szCs w:val="28"/>
          <w:u w:val="single"/>
        </w:rPr>
      </w:pPr>
      <w:r w:rsidRPr="00D34B88">
        <w:rPr>
          <w:i/>
          <w:smallCaps/>
          <w:sz w:val="28"/>
          <w:szCs w:val="28"/>
          <w:u w:val="single"/>
        </w:rPr>
        <w:t>not the pu</w:t>
      </w:r>
      <w:r w:rsidR="003623E9">
        <w:rPr>
          <w:i/>
          <w:smallCaps/>
          <w:sz w:val="28"/>
          <w:szCs w:val="28"/>
          <w:u w:val="single"/>
        </w:rPr>
        <w:t>rpose of providing legal advice</w:t>
      </w:r>
    </w:p>
    <w:p w14:paraId="04617C15" w14:textId="77777777" w:rsidR="00677D96" w:rsidRDefault="00677D9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3860"/>
      </w:tblGrid>
      <w:tr w:rsidR="004147E8" w:rsidRPr="00834B80" w14:paraId="2A648654" w14:textId="77777777" w:rsidTr="00CE1CF5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7BCAB3E6" w14:textId="7A9FB7C7" w:rsidR="004147E8" w:rsidRPr="00692B35" w:rsidRDefault="004147E8" w:rsidP="00CE74C8">
            <w:pPr>
              <w:spacing w:after="240" w:line="276" w:lineRule="auto"/>
              <w:jc w:val="center"/>
              <w:rPr>
                <w:rFonts w:ascii="Times New Roman Bold" w:hAnsi="Times New Roman Bold" w:cs="Times New Roman"/>
                <w:b/>
                <w:caps/>
                <w:sz w:val="24"/>
                <w:szCs w:val="24"/>
              </w:rPr>
            </w:pPr>
            <w:r w:rsidRPr="00692B35">
              <w:rPr>
                <w:rFonts w:ascii="Times New Roman Bold" w:hAnsi="Times New Roman Bold" w:cs="Times New Roman"/>
                <w:b/>
                <w:caps/>
                <w:sz w:val="24"/>
                <w:szCs w:val="24"/>
              </w:rPr>
              <w:t>UNITED STATES DISTRICT COURT</w:t>
            </w:r>
            <w:r w:rsidRPr="00692B35">
              <w:rPr>
                <w:rFonts w:ascii="Times New Roman Bold" w:hAnsi="Times New Roman Bold" w:cs="Times New Roman"/>
                <w:b/>
                <w:caps/>
                <w:sz w:val="24"/>
                <w:szCs w:val="24"/>
              </w:rPr>
              <w:br/>
              <w:t xml:space="preserve">FOR THE </w:t>
            </w:r>
            <w:r>
              <w:rPr>
                <w:rFonts w:ascii="Times New Roman Bold" w:hAnsi="Times New Roman Bold" w:cs="Times New Roman"/>
                <w:b/>
                <w:caps/>
                <w:sz w:val="24"/>
                <w:szCs w:val="24"/>
              </w:rPr>
              <w:t>____________</w:t>
            </w:r>
            <w:r w:rsidRPr="00692B35">
              <w:rPr>
                <w:rFonts w:ascii="Times New Roman Bold" w:hAnsi="Times New Roman Bold" w:cs="Times New Roman"/>
                <w:b/>
                <w:caps/>
                <w:sz w:val="24"/>
                <w:szCs w:val="24"/>
              </w:rPr>
              <w:t xml:space="preserve"> DISTRICT OF </w:t>
            </w:r>
            <w:r>
              <w:rPr>
                <w:rFonts w:ascii="Times New Roman Bold" w:hAnsi="Times New Roman Bold" w:cs="Times New Roman"/>
                <w:b/>
                <w:caps/>
                <w:sz w:val="24"/>
                <w:szCs w:val="24"/>
              </w:rPr>
              <w:t>__________</w:t>
            </w:r>
            <w:r w:rsidR="002A3547">
              <w:rPr>
                <w:rFonts w:ascii="Times New Roman Bold" w:hAnsi="Times New Roman Bold" w:cs="Times New Roman"/>
                <w:b/>
                <w:caps/>
                <w:sz w:val="24"/>
                <w:szCs w:val="24"/>
              </w:rPr>
              <w:t>__</w:t>
            </w:r>
            <w:r w:rsidRPr="00692B35">
              <w:rPr>
                <w:rFonts w:ascii="Times New Roman Bold" w:hAnsi="Times New Roman Bold" w:cs="Times New Roman"/>
                <w:b/>
                <w:caps/>
                <w:sz w:val="24"/>
                <w:szCs w:val="24"/>
              </w:rPr>
              <w:br/>
            </w:r>
            <w:r w:rsidR="002A3547">
              <w:rPr>
                <w:rFonts w:ascii="Times New Roman Bold" w:hAnsi="Times New Roman Bold" w:cs="Times New Roman"/>
                <w:b/>
                <w:caps/>
                <w:sz w:val="24"/>
                <w:szCs w:val="24"/>
              </w:rPr>
              <w:t>____________</w:t>
            </w:r>
            <w:r w:rsidRPr="00692B35">
              <w:rPr>
                <w:rFonts w:ascii="Times New Roman Bold" w:hAnsi="Times New Roman Bold" w:cs="Times New Roman"/>
                <w:b/>
                <w:caps/>
                <w:sz w:val="24"/>
                <w:szCs w:val="24"/>
              </w:rPr>
              <w:t xml:space="preserve"> DIVISION</w:t>
            </w:r>
          </w:p>
        </w:tc>
      </w:tr>
      <w:tr w:rsidR="004147E8" w:rsidRPr="00834B80" w14:paraId="02184621" w14:textId="77777777" w:rsidTr="00CE1CF5"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6D81FD16" w14:textId="77777777" w:rsidR="004147E8" w:rsidRPr="0065224D" w:rsidRDefault="004147E8" w:rsidP="00CE6B5E">
            <w:pPr>
              <w:spacing w:before="16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24D">
              <w:rPr>
                <w:rFonts w:ascii="Times New Roman" w:hAnsi="Times New Roman" w:cs="Times New Roman"/>
                <w:b/>
                <w:sz w:val="24"/>
                <w:szCs w:val="24"/>
              </w:rPr>
              <w:t>&lt;INSERT 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  <w:r w:rsidRPr="0065224D">
              <w:rPr>
                <w:rFonts w:ascii="Times New Roman" w:hAnsi="Times New Roman" w:cs="Times New Roman"/>
                <w:b/>
                <w:sz w:val="24"/>
                <w:szCs w:val="24"/>
              </w:rPr>
              <w:t>&gt;</w:t>
            </w:r>
          </w:p>
          <w:p w14:paraId="0C2CEA06" w14:textId="73D00FD0" w:rsidR="004147E8" w:rsidRDefault="004147E8" w:rsidP="00CE74C8">
            <w:pPr>
              <w:tabs>
                <w:tab w:val="left" w:pos="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B80">
              <w:rPr>
                <w:rFonts w:ascii="Times New Roman" w:hAnsi="Times New Roman" w:cs="Times New Roman"/>
                <w:sz w:val="24"/>
                <w:szCs w:val="24"/>
              </w:rPr>
              <w:tab/>
              <w:t>Plaintiff,</w:t>
            </w:r>
          </w:p>
          <w:p w14:paraId="5DC17BB9" w14:textId="77777777" w:rsidR="00CE74C8" w:rsidRPr="00834B80" w:rsidRDefault="00CE74C8" w:rsidP="00CE74C8">
            <w:pPr>
              <w:tabs>
                <w:tab w:val="left" w:pos="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CFFF0" w14:textId="357AAF29" w:rsidR="004147E8" w:rsidRDefault="00CE74C8" w:rsidP="00CE74C8">
            <w:pPr>
              <w:tabs>
                <w:tab w:val="left" w:pos="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147E8" w:rsidRPr="00834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9E95A1" w14:textId="77777777" w:rsidR="00CE74C8" w:rsidRPr="00834B80" w:rsidRDefault="00CE74C8" w:rsidP="00CE74C8">
            <w:pPr>
              <w:tabs>
                <w:tab w:val="left" w:pos="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37931" w14:textId="77777777" w:rsidR="004147E8" w:rsidRPr="0065224D" w:rsidRDefault="004147E8" w:rsidP="00CE6B5E">
            <w:pPr>
              <w:tabs>
                <w:tab w:val="left" w:pos="691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24D">
              <w:rPr>
                <w:rFonts w:ascii="Times New Roman" w:hAnsi="Times New Roman" w:cs="Times New Roman"/>
                <w:b/>
                <w:sz w:val="24"/>
                <w:szCs w:val="24"/>
              </w:rPr>
              <w:t>&lt;INSERT 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  <w:r w:rsidRPr="0065224D">
              <w:rPr>
                <w:rFonts w:ascii="Times New Roman" w:hAnsi="Times New Roman" w:cs="Times New Roman"/>
                <w:b/>
                <w:sz w:val="24"/>
                <w:szCs w:val="24"/>
              </w:rPr>
              <w:t>&gt;</w:t>
            </w:r>
          </w:p>
          <w:p w14:paraId="74BD594A" w14:textId="77777777" w:rsidR="004147E8" w:rsidRPr="00834B80" w:rsidRDefault="004147E8" w:rsidP="00CE74C8">
            <w:pPr>
              <w:tabs>
                <w:tab w:val="left" w:pos="6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Defendant.</w:t>
            </w: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D75AC" w14:textId="3EB39C5B" w:rsidR="004147E8" w:rsidRDefault="002A3547" w:rsidP="0011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No</w:t>
            </w:r>
            <w:r w:rsidR="004147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&lt;Insert Case Number&gt;</w:t>
            </w:r>
          </w:p>
          <w:p w14:paraId="11082FA3" w14:textId="77777777" w:rsidR="004147E8" w:rsidRPr="00834B80" w:rsidRDefault="004147E8" w:rsidP="0011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Honorable </w:t>
            </w:r>
            <w:r w:rsidR="002A3547">
              <w:rPr>
                <w:rFonts w:ascii="Times New Roman" w:hAnsi="Times New Roman" w:cs="Times New Roman"/>
                <w:sz w:val="24"/>
                <w:szCs w:val="24"/>
              </w:rPr>
              <w:t>&lt;Insert Judge’s Name&gt;</w:t>
            </w:r>
          </w:p>
        </w:tc>
      </w:tr>
    </w:tbl>
    <w:p w14:paraId="7846FF28" w14:textId="77777777" w:rsidR="004147E8" w:rsidRDefault="004147E8" w:rsidP="00325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790F3" w14:textId="77777777" w:rsidR="004147E8" w:rsidRPr="00834B80" w:rsidRDefault="004147E8" w:rsidP="00325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0AEF0" w14:textId="5AA351C0" w:rsidR="004147E8" w:rsidRPr="004526F5" w:rsidRDefault="00D26FB0" w:rsidP="002A5A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ORDER APPOINTING SPECIAL MASTER</w:t>
      </w:r>
      <w:r w:rsidR="001405F3">
        <w:rPr>
          <w:rFonts w:ascii="Times New Roman" w:hAnsi="Times New Roman" w:cs="Times New Roman"/>
          <w:b/>
          <w:sz w:val="24"/>
          <w:szCs w:val="24"/>
          <w:u w:val="single"/>
        </w:rPr>
        <w:t>/NEUTRAL</w:t>
      </w:r>
      <w:r w:rsidR="00942896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EDISCOVERY</w:t>
      </w:r>
    </w:p>
    <w:p w14:paraId="4284C297" w14:textId="332A8B61" w:rsidR="006B603A" w:rsidRDefault="00763E8E" w:rsidP="00763E8E">
      <w:pPr>
        <w:pStyle w:val="BodyText"/>
        <w:spacing w:line="360" w:lineRule="auto"/>
        <w:ind w:firstLine="0"/>
        <w:rPr>
          <w:szCs w:val="24"/>
        </w:rPr>
      </w:pPr>
      <w:r>
        <w:rPr>
          <w:szCs w:val="24"/>
        </w:rPr>
        <w:tab/>
        <w:t xml:space="preserve">This is </w:t>
      </w:r>
      <w:r w:rsidR="00232D45">
        <w:rPr>
          <w:szCs w:val="24"/>
        </w:rPr>
        <w:t>an</w:t>
      </w:r>
      <w:r>
        <w:rPr>
          <w:szCs w:val="24"/>
        </w:rPr>
        <w:t xml:space="preserve"> </w:t>
      </w:r>
      <w:r w:rsidR="002C34CC">
        <w:rPr>
          <w:szCs w:val="24"/>
        </w:rPr>
        <w:t>&lt;</w:t>
      </w:r>
      <w:r w:rsidR="00ED7A1E">
        <w:rPr>
          <w:szCs w:val="24"/>
        </w:rPr>
        <w:t xml:space="preserve">insert </w:t>
      </w:r>
      <w:r w:rsidR="002C34CC">
        <w:rPr>
          <w:szCs w:val="24"/>
        </w:rPr>
        <w:t>type of case information&gt;</w:t>
      </w:r>
      <w:r>
        <w:rPr>
          <w:szCs w:val="24"/>
        </w:rPr>
        <w:t xml:space="preserve"> case.  Given the </w:t>
      </w:r>
      <w:r w:rsidR="00982285">
        <w:rPr>
          <w:szCs w:val="24"/>
        </w:rPr>
        <w:t xml:space="preserve">complex </w:t>
      </w:r>
      <w:r>
        <w:rPr>
          <w:szCs w:val="24"/>
        </w:rPr>
        <w:t>technical nature of the case,</w:t>
      </w:r>
      <w:r w:rsidR="00466376">
        <w:rPr>
          <w:szCs w:val="24"/>
        </w:rPr>
        <w:t xml:space="preserve"> the Court would be aided by an</w:t>
      </w:r>
      <w:r>
        <w:rPr>
          <w:szCs w:val="24"/>
        </w:rPr>
        <w:t xml:space="preserve"> expert advisor</w:t>
      </w:r>
      <w:r w:rsidR="002C34CC">
        <w:rPr>
          <w:szCs w:val="24"/>
        </w:rPr>
        <w:t xml:space="preserve"> with specialized knowledge</w:t>
      </w:r>
      <w:r w:rsidR="008C25A9">
        <w:rPr>
          <w:szCs w:val="24"/>
        </w:rPr>
        <w:t xml:space="preserve"> in the areas including, but not limited to, digital forensics, </w:t>
      </w:r>
      <w:proofErr w:type="gramStart"/>
      <w:r w:rsidR="008C25A9">
        <w:rPr>
          <w:szCs w:val="24"/>
        </w:rPr>
        <w:t>eDiscovery</w:t>
      </w:r>
      <w:proofErr w:type="gramEnd"/>
      <w:r w:rsidR="008C25A9">
        <w:rPr>
          <w:szCs w:val="24"/>
        </w:rPr>
        <w:t xml:space="preserve"> and experience with electronically stored information (“ESI</w:t>
      </w:r>
      <w:r w:rsidR="00E14137">
        <w:rPr>
          <w:szCs w:val="24"/>
        </w:rPr>
        <w:t>”</w:t>
      </w:r>
      <w:r w:rsidR="008C25A9">
        <w:rPr>
          <w:szCs w:val="24"/>
        </w:rPr>
        <w:t>)</w:t>
      </w:r>
      <w:r>
        <w:rPr>
          <w:szCs w:val="24"/>
        </w:rPr>
        <w:t>.</w:t>
      </w:r>
      <w:r w:rsidR="006B603A">
        <w:rPr>
          <w:szCs w:val="24"/>
        </w:rPr>
        <w:t xml:space="preserve"> </w:t>
      </w:r>
    </w:p>
    <w:p w14:paraId="6970A08F" w14:textId="426D95CD" w:rsidR="00CB164E" w:rsidRDefault="00CB164E" w:rsidP="00763E8E">
      <w:pPr>
        <w:pStyle w:val="BodyText"/>
        <w:spacing w:line="360" w:lineRule="auto"/>
        <w:ind w:firstLine="0"/>
        <w:rPr>
          <w:szCs w:val="24"/>
        </w:rPr>
      </w:pPr>
      <w:r>
        <w:rPr>
          <w:szCs w:val="24"/>
        </w:rPr>
        <w:tab/>
        <w:t>The Court, upon consideration of the parties’ proposals and recommendations</w:t>
      </w:r>
      <w:r w:rsidR="00286E2E">
        <w:rPr>
          <w:szCs w:val="24"/>
        </w:rPr>
        <w:t xml:space="preserve"> regarding the appointment of a Special Master in this case, hereby ORDERS as follows:</w:t>
      </w:r>
    </w:p>
    <w:p w14:paraId="6AE4A22D" w14:textId="19FC69C0" w:rsidR="00FD028B" w:rsidRDefault="00FD028B" w:rsidP="00764056">
      <w:pPr>
        <w:pStyle w:val="BodyText"/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rPr>
          <w:szCs w:val="24"/>
        </w:rPr>
      </w:pPr>
      <w:r>
        <w:rPr>
          <w:szCs w:val="24"/>
        </w:rPr>
        <w:t>Pursuant to Rule 53 of the Federal Rules of Civil Procedure, and exercising it</w:t>
      </w:r>
      <w:r w:rsidR="00E14137">
        <w:rPr>
          <w:szCs w:val="24"/>
        </w:rPr>
        <w:t>s</w:t>
      </w:r>
      <w:r>
        <w:rPr>
          <w:szCs w:val="24"/>
        </w:rPr>
        <w:t xml:space="preserve"> inherent powers, the Court hereby </w:t>
      </w:r>
      <w:r w:rsidR="00956013">
        <w:rPr>
          <w:szCs w:val="24"/>
        </w:rPr>
        <w:t>APPOINTS &lt;insert name&gt;</w:t>
      </w:r>
      <w:r>
        <w:rPr>
          <w:szCs w:val="24"/>
        </w:rPr>
        <w:t xml:space="preserve"> as Special Master for ESI in this action, effective upon &lt;insert name&gt;’</w:t>
      </w:r>
      <w:r w:rsidR="00A921CF">
        <w:rPr>
          <w:szCs w:val="24"/>
        </w:rPr>
        <w:t>s filing an</w:t>
      </w:r>
      <w:r>
        <w:rPr>
          <w:szCs w:val="24"/>
        </w:rPr>
        <w:t xml:space="preserve"> affidavit</w:t>
      </w:r>
      <w:r w:rsidR="00A921CF">
        <w:rPr>
          <w:szCs w:val="24"/>
        </w:rPr>
        <w:t xml:space="preserve"> with the Court</w:t>
      </w:r>
      <w:r>
        <w:rPr>
          <w:szCs w:val="24"/>
        </w:rPr>
        <w:t xml:space="preserve"> as required by Rule 53(b)(3)(A) of the Federal Rules of Civil </w:t>
      </w:r>
      <w:r w:rsidR="009343C9">
        <w:rPr>
          <w:szCs w:val="24"/>
        </w:rPr>
        <w:t>Procedure</w:t>
      </w:r>
      <w:r>
        <w:rPr>
          <w:szCs w:val="24"/>
        </w:rPr>
        <w:t xml:space="preserve"> stating that there are no grounds for disqualification under 28 U.S.C. § 455</w:t>
      </w:r>
      <w:r w:rsidR="001F7A73">
        <w:rPr>
          <w:szCs w:val="24"/>
        </w:rPr>
        <w:t>.</w:t>
      </w:r>
    </w:p>
    <w:p w14:paraId="60AC9C7D" w14:textId="1CD75C28" w:rsidR="00FD028B" w:rsidRDefault="00B73EA5" w:rsidP="00764056">
      <w:pPr>
        <w:pStyle w:val="BodyText"/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rPr>
          <w:szCs w:val="24"/>
        </w:rPr>
      </w:pPr>
      <w:r>
        <w:rPr>
          <w:szCs w:val="24"/>
        </w:rPr>
        <w:t>The Special Master shall proceed with all reasonable diligence to assist and</w:t>
      </w:r>
      <w:r w:rsidR="00E14137">
        <w:rPr>
          <w:szCs w:val="24"/>
        </w:rPr>
        <w:t>,</w:t>
      </w:r>
      <w:r>
        <w:rPr>
          <w:szCs w:val="24"/>
        </w:rPr>
        <w:t xml:space="preserve"> when necessary, direct the parties related to </w:t>
      </w:r>
      <w:r w:rsidR="006B1DD9">
        <w:rPr>
          <w:szCs w:val="24"/>
        </w:rPr>
        <w:t>ESI matte</w:t>
      </w:r>
      <w:r w:rsidR="00AB4972">
        <w:rPr>
          <w:szCs w:val="24"/>
        </w:rPr>
        <w:t>rs</w:t>
      </w:r>
      <w:r w:rsidR="002C34CC">
        <w:rPr>
          <w:szCs w:val="24"/>
        </w:rPr>
        <w:t xml:space="preserve"> and other </w:t>
      </w:r>
      <w:r w:rsidR="00F260E3">
        <w:rPr>
          <w:szCs w:val="24"/>
        </w:rPr>
        <w:t>matters requested by the Court</w:t>
      </w:r>
      <w:r w:rsidR="00AB4972">
        <w:rPr>
          <w:szCs w:val="24"/>
        </w:rPr>
        <w:t>.</w:t>
      </w:r>
    </w:p>
    <w:p w14:paraId="76038889" w14:textId="39BB9E23" w:rsidR="00F9740D" w:rsidRDefault="00F9740D" w:rsidP="00764056">
      <w:pPr>
        <w:pStyle w:val="BodyText"/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rPr>
          <w:szCs w:val="24"/>
        </w:rPr>
      </w:pPr>
      <w:r>
        <w:rPr>
          <w:szCs w:val="24"/>
        </w:rPr>
        <w:t xml:space="preserve">The Special Master shall have the authority </w:t>
      </w:r>
      <w:r w:rsidR="00062126">
        <w:rPr>
          <w:szCs w:val="24"/>
        </w:rPr>
        <w:t>outlined in Rule 53(c) of the F</w:t>
      </w:r>
      <w:r w:rsidR="001F7A73">
        <w:rPr>
          <w:szCs w:val="24"/>
        </w:rPr>
        <w:t>ederal Rules of Civil Procedure</w:t>
      </w:r>
      <w:r w:rsidR="00062126">
        <w:rPr>
          <w:szCs w:val="24"/>
        </w:rPr>
        <w:t>.</w:t>
      </w:r>
    </w:p>
    <w:p w14:paraId="24434555" w14:textId="41913B30" w:rsidR="00494EF4" w:rsidRDefault="00E34899" w:rsidP="00764056">
      <w:pPr>
        <w:pStyle w:val="BodyText"/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rPr>
          <w:szCs w:val="24"/>
        </w:rPr>
      </w:pPr>
      <w:r>
        <w:rPr>
          <w:szCs w:val="24"/>
        </w:rPr>
        <w:t>The duties of the Special Master will include the following</w:t>
      </w:r>
      <w:r w:rsidR="00E14137">
        <w:rPr>
          <w:szCs w:val="24"/>
        </w:rPr>
        <w:t xml:space="preserve"> as well as</w:t>
      </w:r>
      <w:r w:rsidR="00C22086">
        <w:rPr>
          <w:szCs w:val="24"/>
        </w:rPr>
        <w:t xml:space="preserve"> additional duties</w:t>
      </w:r>
      <w:r w:rsidR="007E1A67">
        <w:rPr>
          <w:szCs w:val="24"/>
        </w:rPr>
        <w:t xml:space="preserve"> and authority that may </w:t>
      </w:r>
      <w:r w:rsidR="00E14137">
        <w:rPr>
          <w:szCs w:val="24"/>
        </w:rPr>
        <w:t xml:space="preserve">be </w:t>
      </w:r>
      <w:r w:rsidR="007E1A67">
        <w:rPr>
          <w:szCs w:val="24"/>
        </w:rPr>
        <w:t>assigned by the Court</w:t>
      </w:r>
      <w:r w:rsidR="00C22086">
        <w:rPr>
          <w:szCs w:val="24"/>
        </w:rPr>
        <w:t>:</w:t>
      </w:r>
    </w:p>
    <w:p w14:paraId="5EC98CF0" w14:textId="72774BDC" w:rsidR="00C22086" w:rsidRDefault="00A1795D" w:rsidP="00C22086">
      <w:pPr>
        <w:pStyle w:val="BodyText"/>
        <w:numPr>
          <w:ilvl w:val="0"/>
          <w:numId w:val="2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lastRenderedPageBreak/>
        <w:t>The Special Master will m</w:t>
      </w:r>
      <w:r w:rsidR="00C22086">
        <w:rPr>
          <w:szCs w:val="24"/>
        </w:rPr>
        <w:t>anage discovery disputes and will have broad authority on any outstanding discovery issue that may arise.</w:t>
      </w:r>
    </w:p>
    <w:p w14:paraId="6247B6B7" w14:textId="1A84CE76" w:rsidR="00AB4972" w:rsidRDefault="007E1A67" w:rsidP="00AB4972">
      <w:pPr>
        <w:pStyle w:val="BodyText"/>
        <w:numPr>
          <w:ilvl w:val="0"/>
          <w:numId w:val="2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>The Special Master has authority to address discovery issues outlined in the parties</w:t>
      </w:r>
      <w:r w:rsidR="00E14137">
        <w:rPr>
          <w:szCs w:val="24"/>
        </w:rPr>
        <w:t>’</w:t>
      </w:r>
      <w:r w:rsidR="001F7A73">
        <w:rPr>
          <w:szCs w:val="24"/>
        </w:rPr>
        <w:t xml:space="preserve"> joint eDiscovery plan/statement</w:t>
      </w:r>
      <w:r>
        <w:rPr>
          <w:szCs w:val="24"/>
        </w:rPr>
        <w:t xml:space="preserve"> to the extent the parties cannot otherwise resolve</w:t>
      </w:r>
      <w:r w:rsidR="001F7A73">
        <w:rPr>
          <w:szCs w:val="24"/>
        </w:rPr>
        <w:t xml:space="preserve"> them</w:t>
      </w:r>
      <w:r>
        <w:rPr>
          <w:szCs w:val="24"/>
        </w:rPr>
        <w:t>.</w:t>
      </w:r>
    </w:p>
    <w:p w14:paraId="7C4DEF98" w14:textId="5164BA5F" w:rsidR="0042409D" w:rsidRDefault="00E14137" w:rsidP="00AB4972">
      <w:pPr>
        <w:pStyle w:val="BodyText"/>
        <w:numPr>
          <w:ilvl w:val="0"/>
          <w:numId w:val="2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 xml:space="preserve">The Special Master will </w:t>
      </w:r>
      <w:r w:rsidR="002F25DB">
        <w:rPr>
          <w:szCs w:val="24"/>
        </w:rPr>
        <w:t>address</w:t>
      </w:r>
      <w:r w:rsidR="0042409D">
        <w:rPr>
          <w:szCs w:val="24"/>
        </w:rPr>
        <w:t xml:space="preserve"> matters of potential ESI </w:t>
      </w:r>
      <w:r>
        <w:rPr>
          <w:szCs w:val="24"/>
        </w:rPr>
        <w:t>spoliation</w:t>
      </w:r>
      <w:r w:rsidR="0042409D">
        <w:rPr>
          <w:szCs w:val="24"/>
        </w:rPr>
        <w:t>.</w:t>
      </w:r>
    </w:p>
    <w:p w14:paraId="6267F217" w14:textId="2AB41257" w:rsidR="00AB4972" w:rsidRDefault="00E14137" w:rsidP="00AB4972">
      <w:pPr>
        <w:pStyle w:val="BodyText"/>
        <w:numPr>
          <w:ilvl w:val="0"/>
          <w:numId w:val="2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>The Special Master will r</w:t>
      </w:r>
      <w:r w:rsidR="00AB4972">
        <w:rPr>
          <w:szCs w:val="24"/>
        </w:rPr>
        <w:t xml:space="preserve">esolve issues related to technical ESI matters including, but not limited to, identification, preservation, collection, processing, review, analysis, </w:t>
      </w:r>
      <w:proofErr w:type="gramStart"/>
      <w:r w:rsidR="00AB4972">
        <w:rPr>
          <w:szCs w:val="24"/>
        </w:rPr>
        <w:t>production</w:t>
      </w:r>
      <w:proofErr w:type="gramEnd"/>
      <w:r w:rsidR="00AB4972">
        <w:rPr>
          <w:szCs w:val="24"/>
        </w:rPr>
        <w:t xml:space="preserve"> and other</w:t>
      </w:r>
      <w:r w:rsidR="001F7A73">
        <w:rPr>
          <w:szCs w:val="24"/>
        </w:rPr>
        <w:t xml:space="preserve"> related</w:t>
      </w:r>
      <w:r w:rsidR="00AB4972">
        <w:rPr>
          <w:szCs w:val="24"/>
        </w:rPr>
        <w:t xml:space="preserve"> ESI </w:t>
      </w:r>
      <w:r w:rsidR="001F7A73">
        <w:rPr>
          <w:szCs w:val="24"/>
        </w:rPr>
        <w:t>issues</w:t>
      </w:r>
      <w:r w:rsidR="0042409D">
        <w:rPr>
          <w:szCs w:val="24"/>
        </w:rPr>
        <w:t>.</w:t>
      </w:r>
    </w:p>
    <w:p w14:paraId="0A33EF4E" w14:textId="0FC691A5" w:rsidR="008D58A9" w:rsidRPr="00AB4972" w:rsidRDefault="008D58A9" w:rsidP="00AB4972">
      <w:pPr>
        <w:pStyle w:val="BodyText"/>
        <w:numPr>
          <w:ilvl w:val="0"/>
          <w:numId w:val="2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>The Special Master will preside over</w:t>
      </w:r>
      <w:r w:rsidR="00F272F9">
        <w:rPr>
          <w:szCs w:val="24"/>
        </w:rPr>
        <w:t xml:space="preserve"> </w:t>
      </w:r>
      <w:r w:rsidR="001F7A73">
        <w:rPr>
          <w:szCs w:val="24"/>
        </w:rPr>
        <w:t xml:space="preserve">the </w:t>
      </w:r>
      <w:r w:rsidR="00F272F9">
        <w:rPr>
          <w:szCs w:val="24"/>
        </w:rPr>
        <w:t>FRCP rule 26(f) Meet and C</w:t>
      </w:r>
      <w:r>
        <w:rPr>
          <w:szCs w:val="24"/>
        </w:rPr>
        <w:t xml:space="preserve">onfer sessions as directed by the Court, </w:t>
      </w:r>
      <w:r w:rsidR="001F7A73">
        <w:rPr>
          <w:szCs w:val="24"/>
        </w:rPr>
        <w:t>with the goal of resolving</w:t>
      </w:r>
      <w:r w:rsidR="00F272F9">
        <w:rPr>
          <w:szCs w:val="24"/>
        </w:rPr>
        <w:t xml:space="preserve"> discovery issues.</w:t>
      </w:r>
    </w:p>
    <w:p w14:paraId="3554882C" w14:textId="12761496" w:rsidR="00421354" w:rsidRDefault="00421354" w:rsidP="00C22086">
      <w:pPr>
        <w:pStyle w:val="BodyText"/>
        <w:numPr>
          <w:ilvl w:val="0"/>
          <w:numId w:val="2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>&lt;insert additional duties&gt;</w:t>
      </w:r>
    </w:p>
    <w:p w14:paraId="06F8D0FC" w14:textId="5156E1D4" w:rsidR="00421354" w:rsidRDefault="00E14137" w:rsidP="00C22086">
      <w:pPr>
        <w:pStyle w:val="BodyText"/>
        <w:numPr>
          <w:ilvl w:val="0"/>
          <w:numId w:val="2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 xml:space="preserve">The Special Master will </w:t>
      </w:r>
      <w:r w:rsidR="001F7A73">
        <w:rPr>
          <w:szCs w:val="24"/>
        </w:rPr>
        <w:t>sub</w:t>
      </w:r>
      <w:r w:rsidR="00CE6B5E">
        <w:rPr>
          <w:szCs w:val="24"/>
        </w:rPr>
        <w:t>m</w:t>
      </w:r>
      <w:r w:rsidR="001F7A73">
        <w:rPr>
          <w:szCs w:val="24"/>
        </w:rPr>
        <w:t>it</w:t>
      </w:r>
      <w:r w:rsidR="00421354">
        <w:rPr>
          <w:szCs w:val="24"/>
        </w:rPr>
        <w:t xml:space="preserve"> orders, reports, or recommendations with the Court as outlined below.</w:t>
      </w:r>
    </w:p>
    <w:p w14:paraId="43C792BD" w14:textId="242AFE96" w:rsidR="00494EF4" w:rsidRDefault="00E34393" w:rsidP="00764056">
      <w:pPr>
        <w:pStyle w:val="BodyText"/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rPr>
          <w:szCs w:val="24"/>
        </w:rPr>
      </w:pPr>
      <w:r>
        <w:rPr>
          <w:szCs w:val="24"/>
        </w:rPr>
        <w:t xml:space="preserve">The Special Master </w:t>
      </w:r>
      <w:r w:rsidR="006D74BD">
        <w:rPr>
          <w:szCs w:val="24"/>
        </w:rPr>
        <w:t>may</w:t>
      </w:r>
      <w:r>
        <w:rPr>
          <w:szCs w:val="24"/>
        </w:rPr>
        <w:t xml:space="preserve"> communicate </w:t>
      </w:r>
      <w:r w:rsidR="006D74BD">
        <w:rPr>
          <w:szCs w:val="24"/>
        </w:rPr>
        <w:t xml:space="preserve">with a party </w:t>
      </w:r>
      <w:r w:rsidRPr="002C0B58">
        <w:rPr>
          <w:i/>
          <w:szCs w:val="24"/>
        </w:rPr>
        <w:t xml:space="preserve">ex </w:t>
      </w:r>
      <w:proofErr w:type="spellStart"/>
      <w:r w:rsidRPr="002C0B58">
        <w:rPr>
          <w:i/>
          <w:szCs w:val="24"/>
        </w:rPr>
        <w:t>parte</w:t>
      </w:r>
      <w:proofErr w:type="spellEnd"/>
      <w:r>
        <w:rPr>
          <w:szCs w:val="24"/>
        </w:rPr>
        <w:t xml:space="preserve"> when su</w:t>
      </w:r>
      <w:r w:rsidR="002B6166">
        <w:rPr>
          <w:szCs w:val="24"/>
        </w:rPr>
        <w:t>ch communication is necessary</w:t>
      </w:r>
      <w:r>
        <w:rPr>
          <w:szCs w:val="24"/>
        </w:rPr>
        <w:t xml:space="preserve"> </w:t>
      </w:r>
      <w:r w:rsidR="00CF4C4D">
        <w:rPr>
          <w:szCs w:val="24"/>
        </w:rPr>
        <w:t xml:space="preserve">(a) </w:t>
      </w:r>
      <w:r w:rsidR="0046539B">
        <w:rPr>
          <w:szCs w:val="24"/>
        </w:rPr>
        <w:t xml:space="preserve">to </w:t>
      </w:r>
      <w:r>
        <w:rPr>
          <w:szCs w:val="24"/>
        </w:rPr>
        <w:t>maintain the confidentiality</w:t>
      </w:r>
      <w:r w:rsidR="000A71CE">
        <w:rPr>
          <w:szCs w:val="24"/>
        </w:rPr>
        <w:t xml:space="preserve"> of trade secret</w:t>
      </w:r>
      <w:r w:rsidR="006D74BD">
        <w:rPr>
          <w:szCs w:val="24"/>
        </w:rPr>
        <w:t xml:space="preserve">, </w:t>
      </w:r>
      <w:r>
        <w:rPr>
          <w:szCs w:val="24"/>
        </w:rPr>
        <w:t>proprietary</w:t>
      </w:r>
      <w:r w:rsidR="00CF4C4D">
        <w:rPr>
          <w:szCs w:val="24"/>
        </w:rPr>
        <w:t xml:space="preserve"> or other sensitive</w:t>
      </w:r>
      <w:r w:rsidR="006D74BD">
        <w:rPr>
          <w:szCs w:val="24"/>
        </w:rPr>
        <w:t xml:space="preserve"> information</w:t>
      </w:r>
      <w:r w:rsidR="00CF4C4D">
        <w:rPr>
          <w:szCs w:val="24"/>
        </w:rPr>
        <w:t>; (b)</w:t>
      </w:r>
      <w:r w:rsidR="006D74BD">
        <w:rPr>
          <w:szCs w:val="24"/>
        </w:rPr>
        <w:t xml:space="preserve"> </w:t>
      </w:r>
      <w:r w:rsidR="0046539B">
        <w:rPr>
          <w:szCs w:val="24"/>
        </w:rPr>
        <w:t xml:space="preserve">to </w:t>
      </w:r>
      <w:r w:rsidR="00CF4C4D">
        <w:rPr>
          <w:szCs w:val="24"/>
        </w:rPr>
        <w:t>maintain the privilege related to specific informatio</w:t>
      </w:r>
      <w:r w:rsidR="0046539B">
        <w:rPr>
          <w:szCs w:val="24"/>
        </w:rPr>
        <w:t>n; (c) to schedule meetings</w:t>
      </w:r>
      <w:r w:rsidR="001F7A73">
        <w:rPr>
          <w:szCs w:val="24"/>
        </w:rPr>
        <w:t xml:space="preserve"> or</w:t>
      </w:r>
      <w:r w:rsidR="0046539B">
        <w:rPr>
          <w:szCs w:val="24"/>
        </w:rPr>
        <w:t xml:space="preserve"> calls; or (d) for </w:t>
      </w:r>
      <w:r w:rsidR="00CF4C4D">
        <w:rPr>
          <w:szCs w:val="24"/>
        </w:rPr>
        <w:t>other routine</w:t>
      </w:r>
      <w:r w:rsidR="00D43E6A">
        <w:rPr>
          <w:szCs w:val="24"/>
        </w:rPr>
        <w:t>, general mat</w:t>
      </w:r>
      <w:r w:rsidR="005A7BBD">
        <w:rPr>
          <w:szCs w:val="24"/>
        </w:rPr>
        <w:t>ter</w:t>
      </w:r>
      <w:r w:rsidR="0046539B">
        <w:rPr>
          <w:szCs w:val="24"/>
        </w:rPr>
        <w:t xml:space="preserve">s; or (e) </w:t>
      </w:r>
      <w:r w:rsidR="005A7BBD">
        <w:rPr>
          <w:szCs w:val="24"/>
        </w:rPr>
        <w:t>to fulfil</w:t>
      </w:r>
      <w:r w:rsidR="00D43E6A">
        <w:rPr>
          <w:szCs w:val="24"/>
        </w:rPr>
        <w:t xml:space="preserve">l </w:t>
      </w:r>
      <w:r w:rsidR="0046539B">
        <w:rPr>
          <w:szCs w:val="24"/>
        </w:rPr>
        <w:t xml:space="preserve">appointed </w:t>
      </w:r>
      <w:r w:rsidR="00D43E6A">
        <w:rPr>
          <w:szCs w:val="24"/>
        </w:rPr>
        <w:t>duties</w:t>
      </w:r>
      <w:r w:rsidR="0046539B">
        <w:rPr>
          <w:szCs w:val="24"/>
        </w:rPr>
        <w:t>.</w:t>
      </w:r>
      <w:r>
        <w:rPr>
          <w:szCs w:val="24"/>
        </w:rPr>
        <w:t xml:space="preserve"> </w:t>
      </w:r>
      <w:r w:rsidR="0046539B">
        <w:rPr>
          <w:szCs w:val="24"/>
        </w:rPr>
        <w:t xml:space="preserve"> </w:t>
      </w:r>
      <w:r>
        <w:rPr>
          <w:szCs w:val="24"/>
        </w:rPr>
        <w:t xml:space="preserve">The Special Master may communicate with the Court </w:t>
      </w:r>
      <w:r w:rsidRPr="000F1C00">
        <w:rPr>
          <w:i/>
          <w:szCs w:val="24"/>
        </w:rPr>
        <w:t xml:space="preserve">ex </w:t>
      </w:r>
      <w:proofErr w:type="spellStart"/>
      <w:r w:rsidRPr="000F1C00">
        <w:rPr>
          <w:i/>
          <w:szCs w:val="24"/>
        </w:rPr>
        <w:t>parte</w:t>
      </w:r>
      <w:proofErr w:type="spellEnd"/>
      <w:r>
        <w:rPr>
          <w:szCs w:val="24"/>
        </w:rPr>
        <w:t xml:space="preserve"> on all matters related to this appointment and duties of the Special Master.  The Special Master shall </w:t>
      </w:r>
      <w:r w:rsidR="002B6166">
        <w:rPr>
          <w:szCs w:val="24"/>
        </w:rPr>
        <w:t>have</w:t>
      </w:r>
      <w:r>
        <w:rPr>
          <w:szCs w:val="24"/>
        </w:rPr>
        <w:t xml:space="preserve"> the same protections from being compelled to give testimony and from liability for damages as those afforded judges performing similar functions.</w:t>
      </w:r>
    </w:p>
    <w:p w14:paraId="6AD163BC" w14:textId="57DFE0E2" w:rsidR="00E34393" w:rsidRDefault="00782595" w:rsidP="00764056">
      <w:pPr>
        <w:pStyle w:val="BodyText"/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rPr>
          <w:szCs w:val="24"/>
        </w:rPr>
      </w:pPr>
      <w:r>
        <w:rPr>
          <w:szCs w:val="24"/>
        </w:rPr>
        <w:t>T</w:t>
      </w:r>
      <w:r w:rsidR="00747628">
        <w:rPr>
          <w:szCs w:val="24"/>
        </w:rPr>
        <w:t xml:space="preserve">he Special Master shall </w:t>
      </w:r>
      <w:r w:rsidR="00E87D3C">
        <w:rPr>
          <w:szCs w:val="24"/>
        </w:rPr>
        <w:t xml:space="preserve">provide the Court with </w:t>
      </w:r>
      <w:r w:rsidR="005814D2">
        <w:rPr>
          <w:szCs w:val="24"/>
        </w:rPr>
        <w:t xml:space="preserve">periodic status </w:t>
      </w:r>
      <w:r w:rsidR="00F21622">
        <w:rPr>
          <w:szCs w:val="24"/>
        </w:rPr>
        <w:t>updates</w:t>
      </w:r>
      <w:r w:rsidR="005814D2">
        <w:rPr>
          <w:szCs w:val="24"/>
        </w:rPr>
        <w:t>, in such format the Special Master deems appropriate</w:t>
      </w:r>
      <w:r w:rsidR="00ED4F66">
        <w:rPr>
          <w:szCs w:val="24"/>
        </w:rPr>
        <w:t xml:space="preserve"> or in </w:t>
      </w:r>
      <w:r w:rsidR="001F7A73">
        <w:rPr>
          <w:szCs w:val="24"/>
        </w:rPr>
        <w:t>any</w:t>
      </w:r>
      <w:r w:rsidR="00ED4F66">
        <w:rPr>
          <w:szCs w:val="24"/>
        </w:rPr>
        <w:t xml:space="preserve"> format directed by the Court.  The report will detail the current</w:t>
      </w:r>
      <w:r w:rsidR="005814D2">
        <w:rPr>
          <w:szCs w:val="24"/>
        </w:rPr>
        <w:t xml:space="preserve"> activities</w:t>
      </w:r>
      <w:r w:rsidR="00ED4F66">
        <w:rPr>
          <w:szCs w:val="24"/>
        </w:rPr>
        <w:t xml:space="preserve"> of the Special Master</w:t>
      </w:r>
      <w:r w:rsidR="005814D2">
        <w:rPr>
          <w:szCs w:val="24"/>
        </w:rPr>
        <w:t xml:space="preserve"> and the status of matters or issues within the Special Master</w:t>
      </w:r>
      <w:r w:rsidR="005A7BBD">
        <w:rPr>
          <w:szCs w:val="24"/>
        </w:rPr>
        <w:t>’</w:t>
      </w:r>
      <w:r w:rsidR="00CB37A7">
        <w:rPr>
          <w:szCs w:val="24"/>
        </w:rPr>
        <w:t>s authority</w:t>
      </w:r>
      <w:r w:rsidR="005814D2">
        <w:rPr>
          <w:szCs w:val="24"/>
        </w:rPr>
        <w:t>.</w:t>
      </w:r>
    </w:p>
    <w:p w14:paraId="43696598" w14:textId="22F2CC47" w:rsidR="00E87D3C" w:rsidRDefault="00E87D3C" w:rsidP="00A77A35">
      <w:pPr>
        <w:pStyle w:val="BodyText"/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rPr>
          <w:szCs w:val="24"/>
        </w:rPr>
      </w:pPr>
      <w:r>
        <w:rPr>
          <w:szCs w:val="24"/>
        </w:rPr>
        <w:t xml:space="preserve">The Special Master will submit proposed orders, reports, or recommendations to the parties before submission of final </w:t>
      </w:r>
      <w:r w:rsidR="006151D0">
        <w:rPr>
          <w:szCs w:val="24"/>
        </w:rPr>
        <w:t xml:space="preserve">orders, reports, or </w:t>
      </w:r>
      <w:r>
        <w:rPr>
          <w:szCs w:val="24"/>
        </w:rPr>
        <w:t>recommendation</w:t>
      </w:r>
      <w:r w:rsidR="006151D0">
        <w:rPr>
          <w:szCs w:val="24"/>
        </w:rPr>
        <w:t>s</w:t>
      </w:r>
      <w:r>
        <w:rPr>
          <w:szCs w:val="24"/>
        </w:rPr>
        <w:t xml:space="preserve"> to the Court.  The parties will submit any objections, responses, and replies to the Special Master for consideration.  The Special Master will communicate with the parties and attempt</w:t>
      </w:r>
      <w:r w:rsidR="005A7BBD">
        <w:rPr>
          <w:szCs w:val="24"/>
        </w:rPr>
        <w:t xml:space="preserve"> to</w:t>
      </w:r>
      <w:r>
        <w:rPr>
          <w:szCs w:val="24"/>
        </w:rPr>
        <w:t xml:space="preserve"> resolve any objections before </w:t>
      </w:r>
      <w:r w:rsidR="00EE1832">
        <w:rPr>
          <w:szCs w:val="24"/>
        </w:rPr>
        <w:t>completing</w:t>
      </w:r>
      <w:r>
        <w:rPr>
          <w:szCs w:val="24"/>
        </w:rPr>
        <w:t xml:space="preserve"> and submitting </w:t>
      </w:r>
      <w:r w:rsidR="00EE1832">
        <w:rPr>
          <w:szCs w:val="24"/>
        </w:rPr>
        <w:t xml:space="preserve">finalized </w:t>
      </w:r>
      <w:r w:rsidR="00530455">
        <w:rPr>
          <w:szCs w:val="24"/>
        </w:rPr>
        <w:t xml:space="preserve">orders, reports, or </w:t>
      </w:r>
      <w:r>
        <w:rPr>
          <w:szCs w:val="24"/>
        </w:rPr>
        <w:t>recommendation</w:t>
      </w:r>
      <w:r w:rsidR="00EE1832">
        <w:rPr>
          <w:szCs w:val="24"/>
        </w:rPr>
        <w:t>s</w:t>
      </w:r>
      <w:r>
        <w:rPr>
          <w:szCs w:val="24"/>
        </w:rPr>
        <w:t xml:space="preserve"> to the Court.</w:t>
      </w:r>
      <w:r w:rsidR="00EE1832">
        <w:rPr>
          <w:szCs w:val="24"/>
        </w:rPr>
        <w:t xml:space="preserve">  The Special Master will also </w:t>
      </w:r>
      <w:r w:rsidR="00530455">
        <w:rPr>
          <w:szCs w:val="24"/>
        </w:rPr>
        <w:t xml:space="preserve">promptly </w:t>
      </w:r>
      <w:r w:rsidR="00EE1832">
        <w:rPr>
          <w:szCs w:val="24"/>
        </w:rPr>
        <w:t xml:space="preserve">provide </w:t>
      </w:r>
      <w:r w:rsidR="00530455">
        <w:rPr>
          <w:szCs w:val="24"/>
        </w:rPr>
        <w:t xml:space="preserve">a copy of any </w:t>
      </w:r>
      <w:r w:rsidR="00EE1832">
        <w:rPr>
          <w:szCs w:val="24"/>
        </w:rPr>
        <w:t>finalized</w:t>
      </w:r>
      <w:r w:rsidR="00530455">
        <w:rPr>
          <w:szCs w:val="24"/>
        </w:rPr>
        <w:t xml:space="preserve"> order, report, or recommendation</w:t>
      </w:r>
      <w:r w:rsidR="00EE1832">
        <w:rPr>
          <w:szCs w:val="24"/>
        </w:rPr>
        <w:t xml:space="preserve"> submitted to the Court to the parties.</w:t>
      </w:r>
    </w:p>
    <w:p w14:paraId="58D26527" w14:textId="50945491" w:rsidR="002D1503" w:rsidRDefault="00FF08BC" w:rsidP="00764056">
      <w:pPr>
        <w:pStyle w:val="BodyText"/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rPr>
          <w:szCs w:val="24"/>
        </w:rPr>
      </w:pPr>
      <w:r>
        <w:rPr>
          <w:szCs w:val="24"/>
        </w:rPr>
        <w:lastRenderedPageBreak/>
        <w:t>A party</w:t>
      </w:r>
      <w:r w:rsidR="002D1503">
        <w:rPr>
          <w:szCs w:val="24"/>
        </w:rPr>
        <w:t xml:space="preserve"> may file</w:t>
      </w:r>
      <w:r w:rsidR="00F7583F">
        <w:rPr>
          <w:szCs w:val="24"/>
        </w:rPr>
        <w:t xml:space="preserve"> </w:t>
      </w:r>
      <w:r w:rsidR="002D1503">
        <w:rPr>
          <w:szCs w:val="24"/>
        </w:rPr>
        <w:t>objections to</w:t>
      </w:r>
      <w:r w:rsidR="00DF51A7">
        <w:rPr>
          <w:szCs w:val="24"/>
        </w:rPr>
        <w:t>,</w:t>
      </w:r>
      <w:r w:rsidR="002D1503">
        <w:rPr>
          <w:szCs w:val="24"/>
        </w:rPr>
        <w:t xml:space="preserve"> or a motion to adopt or modify</w:t>
      </w:r>
      <w:r w:rsidR="00DF51A7">
        <w:rPr>
          <w:szCs w:val="24"/>
        </w:rPr>
        <w:t>,</w:t>
      </w:r>
      <w:r w:rsidR="002D1503">
        <w:rPr>
          <w:szCs w:val="24"/>
        </w:rPr>
        <w:t xml:space="preserve"> </w:t>
      </w:r>
      <w:r w:rsidR="00DF51A7">
        <w:rPr>
          <w:szCs w:val="24"/>
        </w:rPr>
        <w:t xml:space="preserve">the Special Master’s </w:t>
      </w:r>
      <w:r w:rsidR="002D1503">
        <w:rPr>
          <w:szCs w:val="24"/>
        </w:rPr>
        <w:t>order, report, or recommendation</w:t>
      </w:r>
      <w:r w:rsidR="000F6A6D">
        <w:rPr>
          <w:szCs w:val="24"/>
        </w:rPr>
        <w:t>s</w:t>
      </w:r>
      <w:r w:rsidR="00991AFB">
        <w:rPr>
          <w:szCs w:val="24"/>
        </w:rPr>
        <w:t>. The parties have</w:t>
      </w:r>
      <w:r w:rsidR="002D1503">
        <w:rPr>
          <w:szCs w:val="24"/>
        </w:rPr>
        <w:t xml:space="preserve"> </w:t>
      </w:r>
      <w:r w:rsidR="00F7583F">
        <w:rPr>
          <w:szCs w:val="24"/>
        </w:rPr>
        <w:t>fourteen (14</w:t>
      </w:r>
      <w:r w:rsidR="002D1503">
        <w:rPr>
          <w:szCs w:val="24"/>
        </w:rPr>
        <w:t>) days after the order, report, or recommendation is filed</w:t>
      </w:r>
      <w:r w:rsidR="005A7BBD">
        <w:rPr>
          <w:szCs w:val="24"/>
        </w:rPr>
        <w:t xml:space="preserve"> with the Court</w:t>
      </w:r>
      <w:r w:rsidR="00991AFB">
        <w:rPr>
          <w:szCs w:val="24"/>
        </w:rPr>
        <w:t xml:space="preserve"> to object</w:t>
      </w:r>
      <w:r w:rsidR="002D1503">
        <w:rPr>
          <w:szCs w:val="24"/>
        </w:rPr>
        <w:t>,</w:t>
      </w:r>
      <w:r w:rsidR="00F7583F">
        <w:rPr>
          <w:szCs w:val="24"/>
        </w:rPr>
        <w:t xml:space="preserve"> fourteen (14) days to res</w:t>
      </w:r>
      <w:r w:rsidR="001F7A73">
        <w:rPr>
          <w:szCs w:val="24"/>
        </w:rPr>
        <w:t>pond and five (5) days to reply,</w:t>
      </w:r>
      <w:r w:rsidR="002D1503">
        <w:rPr>
          <w:szCs w:val="24"/>
        </w:rPr>
        <w:t xml:space="preserve"> unless the Specia</w:t>
      </w:r>
      <w:r w:rsidR="00A662E2">
        <w:rPr>
          <w:szCs w:val="24"/>
        </w:rPr>
        <w:t>l Master or the Court enters an</w:t>
      </w:r>
      <w:r w:rsidR="002D1503">
        <w:rPr>
          <w:szCs w:val="24"/>
        </w:rPr>
        <w:t xml:space="preserve"> order allowing a great</w:t>
      </w:r>
      <w:r w:rsidR="00D800CB">
        <w:rPr>
          <w:szCs w:val="24"/>
        </w:rPr>
        <w:t>er</w:t>
      </w:r>
      <w:r w:rsidR="002D1503">
        <w:rPr>
          <w:szCs w:val="24"/>
        </w:rPr>
        <w:t xml:space="preserve"> </w:t>
      </w:r>
      <w:r w:rsidR="00D800CB">
        <w:rPr>
          <w:szCs w:val="24"/>
        </w:rPr>
        <w:t>time</w:t>
      </w:r>
      <w:r w:rsidR="00F50D33">
        <w:rPr>
          <w:szCs w:val="24"/>
        </w:rPr>
        <w:t xml:space="preserve"> to file</w:t>
      </w:r>
      <w:r w:rsidR="002D1503">
        <w:rPr>
          <w:szCs w:val="24"/>
        </w:rPr>
        <w:t>.  Objections shall be specific and accompanied by a memorandum describing the legal and factual basis for the objection.</w:t>
      </w:r>
      <w:r w:rsidR="00F7583F">
        <w:rPr>
          <w:szCs w:val="24"/>
        </w:rPr>
        <w:t xml:space="preserve">  If the parties do not object within the time frame, the Court </w:t>
      </w:r>
      <w:r w:rsidR="004860BA">
        <w:rPr>
          <w:szCs w:val="24"/>
        </w:rPr>
        <w:t>may</w:t>
      </w:r>
      <w:r w:rsidR="00F7583F">
        <w:rPr>
          <w:szCs w:val="24"/>
        </w:rPr>
        <w:t xml:space="preserve"> adopt the Special Master’s order, report, or recommendation.  If a party makes a baseless objection, the Court will consider the imposition of sanctions.</w:t>
      </w:r>
    </w:p>
    <w:p w14:paraId="15DEA277" w14:textId="65AD71FE" w:rsidR="00F7583F" w:rsidRDefault="00293A67" w:rsidP="00764056">
      <w:pPr>
        <w:pStyle w:val="BodyText"/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rPr>
          <w:szCs w:val="24"/>
        </w:rPr>
      </w:pPr>
      <w:r>
        <w:rPr>
          <w:szCs w:val="24"/>
        </w:rPr>
        <w:t>The Special Master shall maintain a record of materials and communications that for</w:t>
      </w:r>
      <w:r w:rsidR="005A7BBD">
        <w:rPr>
          <w:szCs w:val="24"/>
        </w:rPr>
        <w:t>m</w:t>
      </w:r>
      <w:r>
        <w:rPr>
          <w:szCs w:val="24"/>
        </w:rPr>
        <w:t xml:space="preserve"> the basis for any orders, reports, or recommendations in a manner determined at the Special Master’s discretion.</w:t>
      </w:r>
    </w:p>
    <w:p w14:paraId="4B6B5438" w14:textId="5CDE8DD4" w:rsidR="002226B6" w:rsidRDefault="002226B6" w:rsidP="00764056">
      <w:pPr>
        <w:pStyle w:val="BodyText"/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rPr>
          <w:szCs w:val="24"/>
        </w:rPr>
      </w:pPr>
      <w:r>
        <w:rPr>
          <w:szCs w:val="24"/>
        </w:rPr>
        <w:t xml:space="preserve">The Special Master’s </w:t>
      </w:r>
      <w:r w:rsidR="003D0F01">
        <w:rPr>
          <w:szCs w:val="24"/>
        </w:rPr>
        <w:t>period</w:t>
      </w:r>
      <w:r>
        <w:rPr>
          <w:szCs w:val="24"/>
        </w:rPr>
        <w:t xml:space="preserve"> of service will end when </w:t>
      </w:r>
      <w:r w:rsidR="00D8742D">
        <w:rPr>
          <w:szCs w:val="24"/>
        </w:rPr>
        <w:t>the</w:t>
      </w:r>
      <w:r w:rsidR="003D0F01">
        <w:rPr>
          <w:szCs w:val="24"/>
        </w:rPr>
        <w:t xml:space="preserve"> court</w:t>
      </w:r>
      <w:r w:rsidR="00D8742D">
        <w:rPr>
          <w:szCs w:val="24"/>
        </w:rPr>
        <w:t xml:space="preserve"> assigned duties are completed or the Court terminates the appointment, whichever comes first.</w:t>
      </w:r>
    </w:p>
    <w:p w14:paraId="42347E54" w14:textId="76E9FE93" w:rsidR="00A01450" w:rsidRDefault="0066092B" w:rsidP="00ED3703">
      <w:pPr>
        <w:pStyle w:val="BodyText"/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rPr>
          <w:szCs w:val="24"/>
        </w:rPr>
      </w:pPr>
      <w:r>
        <w:rPr>
          <w:szCs w:val="24"/>
        </w:rPr>
        <w:t>The Special Master will keep detailed records of time and expenses.</w:t>
      </w:r>
      <w:r w:rsidR="00D800CB">
        <w:rPr>
          <w:szCs w:val="24"/>
        </w:rPr>
        <w:t xml:space="preserve">  The Special Master will bill time at</w:t>
      </w:r>
      <w:r w:rsidR="00A33BC7">
        <w:rPr>
          <w:szCs w:val="24"/>
        </w:rPr>
        <w:t xml:space="preserve"> the standard rate of $</w:t>
      </w:r>
      <w:r w:rsidR="00A01450">
        <w:rPr>
          <w:szCs w:val="24"/>
        </w:rPr>
        <w:t>&lt;insert rate&gt;</w:t>
      </w:r>
      <w:r w:rsidR="005A7BBD">
        <w:rPr>
          <w:szCs w:val="24"/>
        </w:rPr>
        <w:t>/hour.  The Special M</w:t>
      </w:r>
      <w:r w:rsidR="007F631E">
        <w:rPr>
          <w:szCs w:val="24"/>
        </w:rPr>
        <w:t>aster’s administrative assistant will bill</w:t>
      </w:r>
      <w:r w:rsidR="00677D96">
        <w:rPr>
          <w:szCs w:val="24"/>
        </w:rPr>
        <w:t xml:space="preserve"> time at the stand</w:t>
      </w:r>
      <w:r w:rsidR="00255D4B">
        <w:rPr>
          <w:szCs w:val="24"/>
        </w:rPr>
        <w:t>ard rate of $</w:t>
      </w:r>
      <w:r w:rsidR="00A01450">
        <w:rPr>
          <w:szCs w:val="24"/>
        </w:rPr>
        <w:t>&lt;insert rate&gt;</w:t>
      </w:r>
      <w:r w:rsidR="007F631E">
        <w:rPr>
          <w:szCs w:val="24"/>
        </w:rPr>
        <w:t>/hour.  T</w:t>
      </w:r>
      <w:r w:rsidR="00D800CB">
        <w:rPr>
          <w:szCs w:val="24"/>
        </w:rPr>
        <w:t>ravel time will be billed at half the standard rate, mileage will be reimbursed at the IRS standard rate</w:t>
      </w:r>
      <w:r w:rsidR="007C7B69">
        <w:rPr>
          <w:szCs w:val="24"/>
        </w:rPr>
        <w:t xml:space="preserve"> for business</w:t>
      </w:r>
      <w:r w:rsidR="00D800CB">
        <w:rPr>
          <w:szCs w:val="24"/>
        </w:rPr>
        <w:t>, and reasonable out-of-pocket expenses will be reimbursed as incurred.</w:t>
      </w:r>
      <w:r>
        <w:rPr>
          <w:szCs w:val="24"/>
        </w:rPr>
        <w:t xml:space="preserve">  The Special Master will provide detailed regular invoices for time and expenses</w:t>
      </w:r>
      <w:r w:rsidR="00D800CB">
        <w:rPr>
          <w:szCs w:val="24"/>
        </w:rPr>
        <w:t>.  The invoices shall be split</w:t>
      </w:r>
      <w:r w:rsidR="005A7BBD">
        <w:rPr>
          <w:szCs w:val="24"/>
        </w:rPr>
        <w:t>,</w:t>
      </w:r>
      <w:r>
        <w:rPr>
          <w:szCs w:val="24"/>
        </w:rPr>
        <w:t xml:space="preserve"> </w:t>
      </w:r>
      <w:r w:rsidR="00D800CB">
        <w:rPr>
          <w:szCs w:val="24"/>
        </w:rPr>
        <w:t>with defendant</w:t>
      </w:r>
      <w:r w:rsidR="000B6A8B">
        <w:rPr>
          <w:szCs w:val="24"/>
        </w:rPr>
        <w:t>(s)</w:t>
      </w:r>
      <w:r w:rsidR="00D800CB">
        <w:rPr>
          <w:szCs w:val="24"/>
        </w:rPr>
        <w:t xml:space="preserve"> responsible for fifty (50%) and plaintiff(s) responsible for fifty (50%). The invoices will be submitted directly to the counsel for the parties who shall take responsibility for payment within thirty (30) days</w:t>
      </w:r>
      <w:r w:rsidR="003067AA">
        <w:rPr>
          <w:szCs w:val="24"/>
        </w:rPr>
        <w:t xml:space="preserve"> of receipt</w:t>
      </w:r>
      <w:r w:rsidR="00D800CB">
        <w:rPr>
          <w:szCs w:val="24"/>
        </w:rPr>
        <w:t xml:space="preserve"> by their respective </w:t>
      </w:r>
      <w:r w:rsidR="003067AA">
        <w:rPr>
          <w:szCs w:val="24"/>
        </w:rPr>
        <w:t>clients.</w:t>
      </w:r>
    </w:p>
    <w:p w14:paraId="4F5E6BC5" w14:textId="77777777" w:rsidR="00ED3703" w:rsidRDefault="00ED3703" w:rsidP="00ED3703">
      <w:pPr>
        <w:pStyle w:val="BodyText"/>
        <w:tabs>
          <w:tab w:val="left" w:pos="1080"/>
        </w:tabs>
        <w:spacing w:line="360" w:lineRule="auto"/>
        <w:ind w:firstLine="0"/>
        <w:rPr>
          <w:szCs w:val="24"/>
        </w:rPr>
      </w:pPr>
    </w:p>
    <w:p w14:paraId="2CD40FD2" w14:textId="49A753FC" w:rsidR="00651EDD" w:rsidRPr="000B6A8B" w:rsidRDefault="000B6A8B" w:rsidP="00763E8E">
      <w:pPr>
        <w:pStyle w:val="BodyText"/>
        <w:spacing w:line="360" w:lineRule="auto"/>
        <w:ind w:firstLine="0"/>
        <w:rPr>
          <w:b/>
          <w:szCs w:val="24"/>
        </w:rPr>
      </w:pPr>
      <w:r w:rsidRPr="000B6A8B">
        <w:rPr>
          <w:b/>
          <w:szCs w:val="24"/>
        </w:rPr>
        <w:tab/>
        <w:t>IT IS ORDERED</w:t>
      </w:r>
      <w:r w:rsidR="002A5AB0">
        <w:rPr>
          <w:b/>
          <w:szCs w:val="24"/>
        </w:rPr>
        <w:t>.</w:t>
      </w:r>
    </w:p>
    <w:p w14:paraId="6A158286" w14:textId="77777777" w:rsidR="000B6A8B" w:rsidRDefault="000B6A8B" w:rsidP="002A5AB0">
      <w:pPr>
        <w:pStyle w:val="BodyText"/>
        <w:spacing w:line="240" w:lineRule="auto"/>
        <w:ind w:firstLine="0"/>
        <w:rPr>
          <w:szCs w:val="24"/>
        </w:rPr>
      </w:pPr>
    </w:p>
    <w:p w14:paraId="5E6FAB20" w14:textId="44105729" w:rsidR="00651EDD" w:rsidRPr="00ED3703" w:rsidRDefault="000B6A8B" w:rsidP="00ED3703">
      <w:pPr>
        <w:pStyle w:val="BodyText"/>
        <w:tabs>
          <w:tab w:val="left" w:pos="5040"/>
          <w:tab w:val="right" w:pos="8640"/>
        </w:tabs>
        <w:spacing w:line="240" w:lineRule="auto"/>
        <w:ind w:firstLine="0"/>
        <w:rPr>
          <w:szCs w:val="24"/>
          <w:u w:val="single"/>
        </w:rPr>
      </w:pPr>
      <w:r>
        <w:rPr>
          <w:szCs w:val="24"/>
        </w:rPr>
        <w:tab/>
      </w:r>
      <w:r w:rsidR="001467CA">
        <w:rPr>
          <w:szCs w:val="24"/>
          <w:u w:val="single"/>
        </w:rPr>
        <w:t>/s/ &lt;insert Judges signature</w:t>
      </w:r>
      <w:r w:rsidRPr="000B6A8B">
        <w:rPr>
          <w:szCs w:val="24"/>
          <w:u w:val="single"/>
        </w:rPr>
        <w:t>&gt;</w:t>
      </w:r>
      <w:r w:rsidRPr="000B6A8B">
        <w:rPr>
          <w:szCs w:val="24"/>
          <w:u w:val="single"/>
        </w:rPr>
        <w:tab/>
      </w:r>
      <w:r>
        <w:rPr>
          <w:szCs w:val="24"/>
        </w:rPr>
        <w:tab/>
        <w:t>&lt;insert Ju</w:t>
      </w:r>
      <w:r w:rsidR="002A5AB0">
        <w:rPr>
          <w:szCs w:val="24"/>
        </w:rPr>
        <w:t>d</w:t>
      </w:r>
      <w:r>
        <w:rPr>
          <w:szCs w:val="24"/>
        </w:rPr>
        <w:t>ges name&gt;</w:t>
      </w:r>
    </w:p>
    <w:p w14:paraId="043DDE7E" w14:textId="6C81A5EE" w:rsidR="000B6A8B" w:rsidRDefault="000B6A8B" w:rsidP="002A5AB0">
      <w:pPr>
        <w:pStyle w:val="BodyText"/>
        <w:tabs>
          <w:tab w:val="left" w:pos="5040"/>
        </w:tabs>
        <w:spacing w:line="240" w:lineRule="auto"/>
        <w:ind w:firstLine="0"/>
        <w:rPr>
          <w:szCs w:val="24"/>
        </w:rPr>
      </w:pPr>
      <w:r>
        <w:rPr>
          <w:szCs w:val="24"/>
        </w:rPr>
        <w:tab/>
        <w:t>United States District Judge</w:t>
      </w:r>
    </w:p>
    <w:p w14:paraId="44C78DF4" w14:textId="6E379928" w:rsidR="000B6A8B" w:rsidRDefault="000B6A8B" w:rsidP="000B6A8B">
      <w:pPr>
        <w:pStyle w:val="BodyText"/>
        <w:tabs>
          <w:tab w:val="left" w:pos="5040"/>
        </w:tabs>
        <w:spacing w:line="360" w:lineRule="auto"/>
        <w:ind w:firstLine="0"/>
        <w:rPr>
          <w:szCs w:val="24"/>
        </w:rPr>
      </w:pPr>
      <w:r>
        <w:rPr>
          <w:szCs w:val="24"/>
        </w:rPr>
        <w:t>Date</w:t>
      </w:r>
      <w:r w:rsidR="002A5AB0">
        <w:rPr>
          <w:szCs w:val="24"/>
        </w:rPr>
        <w:t>d</w:t>
      </w:r>
      <w:r>
        <w:rPr>
          <w:szCs w:val="24"/>
        </w:rPr>
        <w:t>: &lt;insert date&gt;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35"/>
      </w:tblGrid>
      <w:tr w:rsidR="00ED3703" w14:paraId="44D49C57" w14:textId="77777777" w:rsidTr="00ED3703">
        <w:tc>
          <w:tcPr>
            <w:tcW w:w="5035" w:type="dxa"/>
          </w:tcPr>
          <w:p w14:paraId="754C268E" w14:textId="43C9CB89" w:rsidR="002A5AB0" w:rsidRDefault="002A5AB0" w:rsidP="002A5AB0">
            <w:pPr>
              <w:pStyle w:val="BodyText"/>
              <w:tabs>
                <w:tab w:val="left" w:pos="5040"/>
              </w:tabs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The undersigned certifies that a copy of this document was served on the attorneys of record by electronic means or U.S. Mail on &lt;insert date&gt;.</w:t>
            </w:r>
          </w:p>
          <w:p w14:paraId="38D84E81" w14:textId="77777777" w:rsidR="002A5AB0" w:rsidRDefault="002A5AB0" w:rsidP="002A5AB0">
            <w:pPr>
              <w:pStyle w:val="BodyText"/>
              <w:tabs>
                <w:tab w:val="left" w:pos="5040"/>
              </w:tabs>
              <w:spacing w:line="240" w:lineRule="auto"/>
              <w:ind w:firstLine="0"/>
              <w:rPr>
                <w:szCs w:val="24"/>
              </w:rPr>
            </w:pPr>
          </w:p>
          <w:p w14:paraId="5D489004" w14:textId="15FDA51A" w:rsidR="002A5AB0" w:rsidRPr="002A5AB0" w:rsidRDefault="002A5AB0" w:rsidP="002A5AB0">
            <w:pPr>
              <w:pStyle w:val="BodyText"/>
              <w:tabs>
                <w:tab w:val="right" w:pos="3573"/>
                <w:tab w:val="left" w:pos="5040"/>
              </w:tabs>
              <w:spacing w:line="240" w:lineRule="auto"/>
              <w:ind w:firstLine="0"/>
              <w:rPr>
                <w:szCs w:val="24"/>
                <w:u w:val="single"/>
              </w:rPr>
            </w:pPr>
            <w:r w:rsidRPr="002A5AB0">
              <w:rPr>
                <w:szCs w:val="24"/>
                <w:u w:val="single"/>
              </w:rPr>
              <w:t>/s/ &lt;insert signature&gt;</w:t>
            </w:r>
            <w:r w:rsidRPr="002A5AB0">
              <w:rPr>
                <w:szCs w:val="24"/>
                <w:u w:val="single"/>
              </w:rPr>
              <w:tab/>
            </w:r>
          </w:p>
          <w:p w14:paraId="23C12C7E" w14:textId="2F9217B2" w:rsidR="002A5AB0" w:rsidRDefault="002A5AB0" w:rsidP="002A5AB0">
            <w:pPr>
              <w:pStyle w:val="BodyText"/>
              <w:tabs>
                <w:tab w:val="right" w:pos="3573"/>
                <w:tab w:val="left" w:pos="5040"/>
              </w:tabs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Deputy Clerk</w:t>
            </w:r>
          </w:p>
        </w:tc>
      </w:tr>
    </w:tbl>
    <w:p w14:paraId="77BD1348" w14:textId="77777777" w:rsidR="0069043F" w:rsidRDefault="00000000"/>
    <w:sectPr w:rsidR="0069043F" w:rsidSect="00745852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79AF5" w14:textId="77777777" w:rsidR="00B00318" w:rsidRDefault="00B00318" w:rsidP="00B17AA4">
      <w:pPr>
        <w:spacing w:after="0" w:line="240" w:lineRule="auto"/>
      </w:pPr>
      <w:r>
        <w:separator/>
      </w:r>
    </w:p>
  </w:endnote>
  <w:endnote w:type="continuationSeparator" w:id="0">
    <w:p w14:paraId="1B780478" w14:textId="77777777" w:rsidR="00B00318" w:rsidRDefault="00B00318" w:rsidP="00B1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CBDE" w14:textId="452A6B00" w:rsidR="00B17AA4" w:rsidRPr="00677D96" w:rsidRDefault="00677D96" w:rsidP="00677D96">
    <w:pPr>
      <w:pStyle w:val="Footer"/>
      <w:jc w:val="center"/>
      <w:rPr>
        <w:sz w:val="20"/>
        <w:szCs w:val="20"/>
      </w:rPr>
    </w:pPr>
    <w:r w:rsidRPr="00677D96">
      <w:rPr>
        <w:rFonts w:ascii="Times New Roman" w:hAnsi="Times New Roman"/>
        <w:sz w:val="20"/>
        <w:szCs w:val="20"/>
      </w:rPr>
      <w:t xml:space="preserve">Page </w:t>
    </w:r>
    <w:r w:rsidRPr="00677D96">
      <w:rPr>
        <w:rFonts w:ascii="Times New Roman" w:hAnsi="Times New Roman"/>
        <w:sz w:val="20"/>
        <w:szCs w:val="20"/>
      </w:rPr>
      <w:fldChar w:fldCharType="begin"/>
    </w:r>
    <w:r w:rsidRPr="00677D96">
      <w:rPr>
        <w:rFonts w:ascii="Times New Roman" w:hAnsi="Times New Roman"/>
        <w:sz w:val="20"/>
        <w:szCs w:val="20"/>
      </w:rPr>
      <w:instrText xml:space="preserve"> PAGE </w:instrText>
    </w:r>
    <w:r w:rsidRPr="00677D96">
      <w:rPr>
        <w:rFonts w:ascii="Times New Roman" w:hAnsi="Times New Roman"/>
        <w:sz w:val="20"/>
        <w:szCs w:val="20"/>
      </w:rPr>
      <w:fldChar w:fldCharType="separate"/>
    </w:r>
    <w:r w:rsidR="001348DB">
      <w:rPr>
        <w:rFonts w:ascii="Times New Roman" w:hAnsi="Times New Roman"/>
        <w:noProof/>
        <w:sz w:val="20"/>
        <w:szCs w:val="20"/>
      </w:rPr>
      <w:t>1</w:t>
    </w:r>
    <w:r w:rsidRPr="00677D96">
      <w:rPr>
        <w:rFonts w:ascii="Times New Roman" w:hAnsi="Times New Roman"/>
        <w:sz w:val="20"/>
        <w:szCs w:val="20"/>
      </w:rPr>
      <w:fldChar w:fldCharType="end"/>
    </w:r>
    <w:r w:rsidRPr="00677D96">
      <w:rPr>
        <w:rFonts w:ascii="Times New Roman" w:hAnsi="Times New Roman"/>
        <w:sz w:val="20"/>
        <w:szCs w:val="20"/>
      </w:rPr>
      <w:t xml:space="preserve"> of </w:t>
    </w:r>
    <w:r w:rsidRPr="00677D96">
      <w:rPr>
        <w:rFonts w:ascii="Times New Roman" w:hAnsi="Times New Roman"/>
        <w:sz w:val="20"/>
        <w:szCs w:val="20"/>
      </w:rPr>
      <w:fldChar w:fldCharType="begin"/>
    </w:r>
    <w:r w:rsidRPr="00677D96">
      <w:rPr>
        <w:rFonts w:ascii="Times New Roman" w:hAnsi="Times New Roman"/>
        <w:sz w:val="20"/>
        <w:szCs w:val="20"/>
      </w:rPr>
      <w:instrText xml:space="preserve"> NUMPAGES </w:instrText>
    </w:r>
    <w:r w:rsidRPr="00677D96">
      <w:rPr>
        <w:rFonts w:ascii="Times New Roman" w:hAnsi="Times New Roman"/>
        <w:sz w:val="20"/>
        <w:szCs w:val="20"/>
      </w:rPr>
      <w:fldChar w:fldCharType="separate"/>
    </w:r>
    <w:r w:rsidR="001348DB">
      <w:rPr>
        <w:rFonts w:ascii="Times New Roman" w:hAnsi="Times New Roman"/>
        <w:noProof/>
        <w:sz w:val="20"/>
        <w:szCs w:val="20"/>
      </w:rPr>
      <w:t>1</w:t>
    </w:r>
    <w:r w:rsidRPr="00677D96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5D2DD" w14:textId="77777777" w:rsidR="00B00318" w:rsidRDefault="00B00318" w:rsidP="00B17AA4">
      <w:pPr>
        <w:spacing w:after="0" w:line="240" w:lineRule="auto"/>
      </w:pPr>
      <w:r>
        <w:separator/>
      </w:r>
    </w:p>
  </w:footnote>
  <w:footnote w:type="continuationSeparator" w:id="0">
    <w:p w14:paraId="30737337" w14:textId="77777777" w:rsidR="00B00318" w:rsidRDefault="00B00318" w:rsidP="00B17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D1AAB"/>
    <w:multiLevelType w:val="hybridMultilevel"/>
    <w:tmpl w:val="90D0F0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947B15"/>
    <w:multiLevelType w:val="hybridMultilevel"/>
    <w:tmpl w:val="85EE5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241566">
    <w:abstractNumId w:val="1"/>
  </w:num>
  <w:num w:numId="2" w16cid:durableId="177944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E8"/>
    <w:rsid w:val="0001459E"/>
    <w:rsid w:val="00014CAC"/>
    <w:rsid w:val="00040B84"/>
    <w:rsid w:val="00062126"/>
    <w:rsid w:val="00092FA7"/>
    <w:rsid w:val="000A22D2"/>
    <w:rsid w:val="000A71CE"/>
    <w:rsid w:val="000B6A8B"/>
    <w:rsid w:val="000D2A82"/>
    <w:rsid w:val="000E364F"/>
    <w:rsid w:val="000F1C00"/>
    <w:rsid w:val="000F6A6D"/>
    <w:rsid w:val="00102147"/>
    <w:rsid w:val="00113BBB"/>
    <w:rsid w:val="001348DB"/>
    <w:rsid w:val="001405F3"/>
    <w:rsid w:val="001467CA"/>
    <w:rsid w:val="00195F6F"/>
    <w:rsid w:val="001F7A73"/>
    <w:rsid w:val="002226B6"/>
    <w:rsid w:val="002311C9"/>
    <w:rsid w:val="00232D45"/>
    <w:rsid w:val="0024026A"/>
    <w:rsid w:val="00255D4B"/>
    <w:rsid w:val="00257D8D"/>
    <w:rsid w:val="00286E2E"/>
    <w:rsid w:val="00293A67"/>
    <w:rsid w:val="00295854"/>
    <w:rsid w:val="002A3547"/>
    <w:rsid w:val="002A5AB0"/>
    <w:rsid w:val="002B182B"/>
    <w:rsid w:val="002B6166"/>
    <w:rsid w:val="002C0B58"/>
    <w:rsid w:val="002C34CC"/>
    <w:rsid w:val="002D1503"/>
    <w:rsid w:val="002E7A5E"/>
    <w:rsid w:val="002F25DB"/>
    <w:rsid w:val="003067AA"/>
    <w:rsid w:val="003256F6"/>
    <w:rsid w:val="00331AB6"/>
    <w:rsid w:val="00334F91"/>
    <w:rsid w:val="00344290"/>
    <w:rsid w:val="003623E9"/>
    <w:rsid w:val="003738AA"/>
    <w:rsid w:val="00396C0F"/>
    <w:rsid w:val="003D0F01"/>
    <w:rsid w:val="004147E8"/>
    <w:rsid w:val="00421354"/>
    <w:rsid w:val="0042409D"/>
    <w:rsid w:val="00454EE7"/>
    <w:rsid w:val="0046539B"/>
    <w:rsid w:val="00466311"/>
    <w:rsid w:val="00466376"/>
    <w:rsid w:val="00467A5D"/>
    <w:rsid w:val="0048388F"/>
    <w:rsid w:val="004860BA"/>
    <w:rsid w:val="00492760"/>
    <w:rsid w:val="00494EF4"/>
    <w:rsid w:val="004D641B"/>
    <w:rsid w:val="004E7CC0"/>
    <w:rsid w:val="00515A64"/>
    <w:rsid w:val="00530455"/>
    <w:rsid w:val="005468C1"/>
    <w:rsid w:val="005661A2"/>
    <w:rsid w:val="005814D2"/>
    <w:rsid w:val="005A2C9E"/>
    <w:rsid w:val="005A7BBD"/>
    <w:rsid w:val="005E15FD"/>
    <w:rsid w:val="006151D0"/>
    <w:rsid w:val="00651EDD"/>
    <w:rsid w:val="0066092B"/>
    <w:rsid w:val="00665C80"/>
    <w:rsid w:val="00677D96"/>
    <w:rsid w:val="006B1DD9"/>
    <w:rsid w:val="006B603A"/>
    <w:rsid w:val="006D74BD"/>
    <w:rsid w:val="006E7685"/>
    <w:rsid w:val="00745852"/>
    <w:rsid w:val="00747628"/>
    <w:rsid w:val="00763E8E"/>
    <w:rsid w:val="00764056"/>
    <w:rsid w:val="00782595"/>
    <w:rsid w:val="007A714B"/>
    <w:rsid w:val="007C7B69"/>
    <w:rsid w:val="007E119A"/>
    <w:rsid w:val="007E1A67"/>
    <w:rsid w:val="007F631E"/>
    <w:rsid w:val="00804F1F"/>
    <w:rsid w:val="00821815"/>
    <w:rsid w:val="00872404"/>
    <w:rsid w:val="008C25A9"/>
    <w:rsid w:val="008D58A9"/>
    <w:rsid w:val="009343C9"/>
    <w:rsid w:val="00942896"/>
    <w:rsid w:val="00956013"/>
    <w:rsid w:val="009652A1"/>
    <w:rsid w:val="00982285"/>
    <w:rsid w:val="00991AFB"/>
    <w:rsid w:val="009D2600"/>
    <w:rsid w:val="009F5FCE"/>
    <w:rsid w:val="00A01450"/>
    <w:rsid w:val="00A1795D"/>
    <w:rsid w:val="00A33BC7"/>
    <w:rsid w:val="00A662E2"/>
    <w:rsid w:val="00A77A35"/>
    <w:rsid w:val="00A921CF"/>
    <w:rsid w:val="00AB4972"/>
    <w:rsid w:val="00AC13BD"/>
    <w:rsid w:val="00B00318"/>
    <w:rsid w:val="00B07016"/>
    <w:rsid w:val="00B17AA4"/>
    <w:rsid w:val="00B4763D"/>
    <w:rsid w:val="00B73EA5"/>
    <w:rsid w:val="00BA67F4"/>
    <w:rsid w:val="00BB48AD"/>
    <w:rsid w:val="00BC1C92"/>
    <w:rsid w:val="00BD18CA"/>
    <w:rsid w:val="00C22086"/>
    <w:rsid w:val="00CB164E"/>
    <w:rsid w:val="00CB37A7"/>
    <w:rsid w:val="00CB5C46"/>
    <w:rsid w:val="00CE1CF5"/>
    <w:rsid w:val="00CE6B5E"/>
    <w:rsid w:val="00CE74C8"/>
    <w:rsid w:val="00CF4C4D"/>
    <w:rsid w:val="00D26FB0"/>
    <w:rsid w:val="00D34B88"/>
    <w:rsid w:val="00D368E9"/>
    <w:rsid w:val="00D430E8"/>
    <w:rsid w:val="00D43E6A"/>
    <w:rsid w:val="00D800CB"/>
    <w:rsid w:val="00D8742D"/>
    <w:rsid w:val="00DF51A7"/>
    <w:rsid w:val="00E14137"/>
    <w:rsid w:val="00E32D00"/>
    <w:rsid w:val="00E34393"/>
    <w:rsid w:val="00E34899"/>
    <w:rsid w:val="00E86851"/>
    <w:rsid w:val="00E87D3C"/>
    <w:rsid w:val="00ED3703"/>
    <w:rsid w:val="00ED4F66"/>
    <w:rsid w:val="00ED7A1E"/>
    <w:rsid w:val="00EE1832"/>
    <w:rsid w:val="00EE1CD6"/>
    <w:rsid w:val="00EE4EE5"/>
    <w:rsid w:val="00EF4A7B"/>
    <w:rsid w:val="00EF6636"/>
    <w:rsid w:val="00F21622"/>
    <w:rsid w:val="00F260E3"/>
    <w:rsid w:val="00F272F9"/>
    <w:rsid w:val="00F50D33"/>
    <w:rsid w:val="00F61C85"/>
    <w:rsid w:val="00F7583F"/>
    <w:rsid w:val="00F82977"/>
    <w:rsid w:val="00F83B02"/>
    <w:rsid w:val="00F9740D"/>
    <w:rsid w:val="00FB03F9"/>
    <w:rsid w:val="00FC15C4"/>
    <w:rsid w:val="00FD028B"/>
    <w:rsid w:val="00FE27C4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294D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47E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7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147E8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147E8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B17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AA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7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AA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D37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14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urtappointedneutra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3</Pages>
  <Words>1014</Words>
  <Characters>5509</Characters>
  <Application>Microsoft Office Word</Application>
  <DocSecurity>0</DocSecurity>
  <Lines>105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Appointing Special Master for ESI (Example 1)</vt:lpstr>
    </vt:vector>
  </TitlesOfParts>
  <Manager/>
  <Company>Bailey Wentworth, LLC.</Company>
  <LinksUpToDate>false</LinksUpToDate>
  <CharactersWithSpaces>6476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Appointing Special Master for ESI (Federal Example 1)</dc:title>
  <dc:subject>Court Appointed Neutral</dc:subject>
  <dc:creator>Scott Bailey</dc:creator>
  <cp:keywords/>
  <dc:description>Copyright 2017-2022 Bailey Wentworth, LLC.  All Rights Reserved.</dc:description>
  <cp:lastModifiedBy>Scott Bailey</cp:lastModifiedBy>
  <cp:revision>34</cp:revision>
  <cp:lastPrinted>2018-01-12T03:01:00Z</cp:lastPrinted>
  <dcterms:created xsi:type="dcterms:W3CDTF">2016-12-18T22:04:00Z</dcterms:created>
  <dcterms:modified xsi:type="dcterms:W3CDTF">2022-08-01T13:57:00Z</dcterms:modified>
  <cp:category>www.CourtAppointedNeutral.com</cp:category>
</cp:coreProperties>
</file>